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LIVESTOCK AND POULTRY</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LIVESTOCK AND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LIVESTOCK AND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201. LIVESTOCK AND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