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1006-A</w:t>
        <w:t xml:space="preserve">.  </w:t>
      </w:r>
      <w:r>
        <w:rPr>
          <w:b/>
        </w:rPr>
        <w:t xml:space="preserve">Penalties</w:t>
      </w:r>
    </w:p>
    <w:p>
      <w:pPr>
        <w:jc w:val="both"/>
        <w:spacing w:before="100" w:after="100"/>
        <w:ind w:start="360"/>
        <w:ind w:firstLine="360"/>
      </w:pPr>
      <w:r>
        <w:rPr/>
      </w:r>
      <w:r>
        <w:rPr/>
      </w:r>
      <w:r>
        <w:t xml:space="preserve">A person who violates a provision of </w:t>
      </w:r>
      <w:r>
        <w:t>sections 991</w:t>
      </w:r>
      <w:r>
        <w:t xml:space="preserve"> to </w:t>
      </w:r>
      <w:r>
        <w:t>994</w:t>
      </w:r>
      <w:r>
        <w:t xml:space="preserve"> or a provision of a marketing order duly issued by the commissioner commits a civil violation for which a forfeiture of not less than $100 nor more than $500 may be adjudged.  Each day during which a violation continues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2001, c. 421, Pt. B, §8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§B8 (NEW).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§1006-A.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§1006-A.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