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Annual accoun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nnual accoun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1. ANNUAL ACCOUN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