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Application; municipal ordinances</w:t>
      </w:r>
    </w:p>
    <w:p>
      <w:pPr>
        <w:jc w:val="both"/>
        <w:spacing w:before="100" w:after="100"/>
        <w:ind w:start="360"/>
        <w:ind w:firstLine="360"/>
      </w:pPr>
      <w:r>
        <w:rPr/>
      </w:r>
      <w:r>
        <w:rPr/>
      </w:r>
      <w:r>
        <w:t xml:space="preserve">This chapter does not affect the application of state and federal laws.  A municipality must provide the commissioner with a copy of any proposed ordinance that affects farm operations or agricultural composting operations.  The clerk of the municipality or a municipal official designated by the clerk shall submit a copy of the proposed ordinance to the commissioner at least 90 days prior to the meeting of the legislative body or public hearing at which adoption of the ordinance will be considered.  The commissioner shall review the proposed ordinance and advise the municipality as to whether the proposed ordinance restricts or prohibits the use of best management practices.  This section does not affect municipal authority to enact ordinances.</w:t>
      </w:r>
      <w:r>
        <w:t xml:space="preserve">  </w:t>
      </w:r>
      <w:r xmlns:wp="http://schemas.openxmlformats.org/drawingml/2010/wordprocessingDrawing" xmlns:w15="http://schemas.microsoft.com/office/word/2012/wordml">
        <w:rPr>
          <w:rFonts w:ascii="Arial" w:hAnsi="Arial" w:cs="Arial"/>
          <w:sz w:val="22"/>
          <w:szCs w:val="22"/>
        </w:rPr>
        <w:t xml:space="preserve">[PL 2015, c. 145,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PL 2015, c. 145,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 Application; municipal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Application; municipal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§155. APPLICATION; MUNICIPAL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