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Applications</w:t>
      </w:r>
    </w:p>
    <w:p>
      <w:pPr>
        <w:jc w:val="both"/>
        <w:spacing w:before="100" w:after="100"/>
        <w:ind w:start="360"/>
        <w:ind w:firstLine="360"/>
      </w:pPr>
      <w:r>
        <w:rPr/>
      </w:r>
      <w:r>
        <w:rPr/>
      </w:r>
      <w:r>
        <w:t xml:space="preserve">Applications for examination must be in writing on forms prescribed by the department and must be accompanied by the prescribed fee.  The application form may require whatever information the department finds necessary to judge qualifications of an applicant.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§2182.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§2182.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