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w:t>
        <w:t xml:space="preserve">.  </w:t>
      </w:r>
      <w:r>
        <w:rPr>
          <w:b/>
        </w:rPr>
        <w:t xml:space="preserve">Establishment of Maine Agricultural Internship and Training Program</w:t>
      </w:r>
    </w:p>
    <w:p>
      <w:pPr>
        <w:jc w:val="both"/>
        <w:spacing w:before="100" w:after="100"/>
        <w:ind w:start="360"/>
        <w:ind w:firstLine="360"/>
      </w:pPr>
      <w:r>
        <w:rPr/>
      </w:r>
      <w:r>
        <w:rPr/>
      </w:r>
      <w:r>
        <w:t xml:space="preserve">The commissioner shall establish a Maine Agricultural Internship and Training Program.</w:t>
      </w:r>
      <w:r>
        <w:t xml:space="preserve">  </w:t>
      </w:r>
      <w:r xmlns:wp="http://schemas.openxmlformats.org/drawingml/2010/wordprocessingDrawing" xmlns:w15="http://schemas.microsoft.com/office/word/2012/wordml">
        <w:rPr>
          <w:rFonts w:ascii="Arial" w:hAnsi="Arial" w:cs="Arial"/>
          <w:sz w:val="22"/>
          <w:szCs w:val="22"/>
        </w:rPr>
        <w:t xml:space="preserve">[PL 1987, c. 520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§221. Establishment of Maine Agricultural Internship and Training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 Establishment of Maine Agricultural Internship and Training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§221. ESTABLISHMENT OF MAINE AGRICULTURAL INTERNSHIP AND TRAINING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