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1989, c. 798, §2 (AMD). PL 1999, c. 668,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