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Integrated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Integrated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§2405. INTEGRATED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