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3156</w:t>
        <w:t xml:space="preserve">.  </w:t>
      </w:r>
      <w:r>
        <w:rPr>
          <w:b/>
        </w:rPr>
        <w:t xml:space="preserve">Transportation allowances</w:t>
      </w:r>
    </w:p>
    <w:p>
      <w:pPr>
        <w:jc w:val="both"/>
        <w:spacing w:before="100" w:after="100"/>
        <w:ind w:start="360"/>
        <w:ind w:firstLine="360"/>
      </w:pPr>
      <w:r>
        <w:rPr/>
      </w:r>
      <w:r>
        <w:rPr/>
      </w:r>
      <w:r>
        <w:t xml:space="preserve">The commissioner shall annually conduct a study investigating the costs of transporting milk from producers' farms to dairy processing plants and shall examine existing and practicably achievable cost efficiencies by market areas as defined by the Maine Milk Commission pursuant to </w:t>
      </w:r>
      <w:r>
        <w:t>section 2951, subsection 5</w:t>
      </w:r>
      <w:r>
        <w:t xml:space="preserve">.  Based upon that study, the commissioner shall annually recommend a schedule of maximum allowable transportation charges to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§3156. Transportation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§3156. Transportation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§3156. TRANSPORTATION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