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§402-A. AGRICULTURE PROMOTION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