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Advertising of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Advertising of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 ADVERTISING OF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