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Brands, labels and trademarks;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Brands, labels and trademarks;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 BRANDS, LABELS AND TRADEMARKS;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