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Unlawful acts</w:t>
      </w:r>
    </w:p>
    <w:p>
      <w:pPr>
        <w:jc w:val="both"/>
        <w:spacing w:before="100" w:after="100"/>
        <w:ind w:start="360"/>
        <w:ind w:firstLine="360"/>
      </w:pPr>
      <w:r>
        <w:rPr/>
      </w:r>
      <w:r>
        <w:rPr/>
      </w:r>
      <w:r>
        <w:t xml:space="preserve">It is unlawful:</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Alteration.</w:t>
        <w:t xml:space="preserve"> </w:t>
      </w:r>
      <w:r>
        <w:t xml:space="preserve"> </w:t>
      </w:r>
      <w:r>
        <w:t xml:space="preserve">For any person to detach, alter, deface or destroy, in whole or in part, any label or labeling provided for in this subchapter or the rules and regulations promulgated hereunder, or to add any substance to, or take any substance from a hazardous substance in a manner that may defeat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Use of information.</w:t>
        <w:t xml:space="preserve"> </w:t>
      </w:r>
      <w:r>
        <w:t xml:space="preserve"> </w:t>
      </w:r>
      <w:r>
        <w:t xml:space="preserve">For any person to use for the person's own advantage or to reveal, other than to the commissioner, or officials or employees of the commissioner or officials or employees of the United States Department of Agriculture, or other federal agencies, or to the courts in response to a subpoena, or to physicians, and in emergencies to pharmacists and other qualified persons for use in the preparation of antidotes, in accordance with such directions as the commissioner may prescribe, any information relative to formulas of products acquired by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§84 (COR).]</w:t>
      </w:r>
    </w:p>
    <w:p>
      <w:pPr>
        <w:jc w:val="both"/>
        <w:spacing w:before="100" w:after="0"/>
        <w:ind w:start="360"/>
        <w:ind w:firstLine="360"/>
      </w:pPr>
      <w:r>
        <w:rPr>
          <w:b/>
        </w:rPr>
        <w:t>3</w:t>
        <w:t xml:space="preserve">.  </w:t>
      </w:r>
      <w:r>
        <w:rPr>
          <w:b/>
        </w:rPr>
        <w:t xml:space="preserve">Interference.</w:t>
        <w:t xml:space="preserve"> </w:t>
      </w:r>
      <w:r>
        <w:t xml:space="preserve"> </w:t>
      </w:r>
      <w:r>
        <w:t xml:space="preserve">For any person to oppose or interfere in any way with the commissioner or the commissioner's duly authorized agents in carrying out the duties imposed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§85 (COR).]</w:t>
      </w:r>
    </w:p>
    <w:p>
      <w:pPr>
        <w:jc w:val="both"/>
        <w:spacing w:before="100" w:after="0"/>
        <w:ind w:start="360"/>
        <w:ind w:firstLine="360"/>
      </w:pPr>
      <w:r>
        <w:rPr>
          <w:b/>
        </w:rPr>
        <w:t>4</w:t>
        <w:t xml:space="preserve">.  </w:t>
      </w:r>
      <w:r>
        <w:rPr>
          <w:b/>
        </w:rPr>
        <w:t xml:space="preserve">False guaranty.</w:t>
        <w:t xml:space="preserve"> </w:t>
      </w:r>
      <w:r>
        <w:t xml:space="preserve"> </w:t>
      </w:r>
      <w:r>
        <w:t xml:space="preserve">For any person to give a guaranty which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5</w:t>
        <w:t xml:space="preserve">.  </w:t>
      </w:r>
      <w:r>
        <w:rPr>
          <w:b/>
        </w:rPr>
        <w:t xml:space="preserve">Manufacture.</w:t>
        <w:t xml:space="preserve"> </w:t>
      </w:r>
      <w:r>
        <w:t xml:space="preserve"> </w:t>
      </w:r>
      <w:r>
        <w:t xml:space="preserve">For any person to manufacture a misbranded package of a hazardous substance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6</w:t>
        <w:t xml:space="preserve">.  </w:t>
      </w:r>
      <w:r>
        <w:rPr>
          <w:b/>
        </w:rPr>
        <w:t xml:space="preserve">Delivery.</w:t>
        <w:t xml:space="preserve"> </w:t>
      </w:r>
      <w:r>
        <w:t xml:space="preserve"> </w:t>
      </w:r>
      <w:r>
        <w:t xml:space="preserve">For any person to introduce or deliver for introduction into commerce of any misbranded package of a hazardous substance;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7</w:t>
        <w:t xml:space="preserve">.  </w:t>
      </w:r>
      <w:r>
        <w:rPr>
          <w:b/>
        </w:rPr>
        <w:t xml:space="preserve">Reused food or drugs.</w:t>
        <w:t xml:space="preserve"> </w:t>
      </w:r>
      <w:r>
        <w:t xml:space="preserve"> </w:t>
      </w:r>
      <w:r>
        <w:t xml:space="preserve">To introduce or deliver for introduction into commerce, or the receipt in commerce and subsequent delivery or proffered delivery for pay or otherwise, of a hazardous substance in a reused food, drug or cosmetic container or in a container that, though not a reused container, is identifiable as a food, drug or cosmetic container by its labeling or other identification. The reuse of a food, drug or cosmetic container as a container for a hazardous substance is an act that results in the hazardous substance being a misbranded package.  For the purposes of this subsection and </w:t>
      </w:r>
      <w:r>
        <w:t>section 509</w:t>
      </w:r>
      <w:r>
        <w:t xml:space="preserve">, "drug" has the same meaning as defined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§A47 (AMD). PL 2005, c. 512, §26 (AMD). PL 2007, c. 695, Pt. B, §1 (AMD). RR 2021, c. 1,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§508.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