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Consumer commodity label</w:t>
      </w:r>
    </w:p>
    <w:p>
      <w:pPr>
        <w:jc w:val="both"/>
        <w:spacing w:before="100" w:after="100"/>
        <w:ind w:start="360"/>
        <w:ind w:firstLine="360"/>
      </w:pPr>
      <w:r>
        <w:rPr/>
      </w:r>
      <w:r>
        <w:rPr/>
      </w:r>
      <w:r>
        <w:t xml:space="preserve">The label on a package of a consumer commodity which bears a representation as to the number of servings of such commodity contained in such package shall bear a statement of the net quantity in terms of weight, measure or numerical count, of each serving.</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 Consumer commodity label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Consumer commodity label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§526. CONSUMER COMMODITY LABEL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