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535</w:t>
        <w:t xml:space="preserve">.  </w:t>
      </w:r>
      <w:r>
        <w:rPr>
          <w:b/>
        </w:rPr>
        <w:t xml:space="preserve">Prohibitions</w:t>
      </w:r>
    </w:p>
    <w:p>
      <w:pPr>
        <w:jc w:val="both"/>
        <w:spacing w:before="100" w:after="100"/>
        <w:ind w:start="360"/>
        <w:ind w:firstLine="360"/>
      </w:pPr>
      <w:r>
        <w:rPr/>
      </w:r>
      <w:r>
        <w:rPr/>
      </w:r>
      <w:r>
        <w:t xml:space="preserve">No person shall, within this State, pack, sell, distribute, transport, offer or expose for sale, distribution or transportation apples which are adulterated or misbranded within the meaning of </w:t>
      </w:r>
      <w:r>
        <w:t>section 531</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§535.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§535.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§535.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