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Repealers</w:t>
      </w:r>
    </w:p>
    <w:p>
      <w:pPr>
        <w:jc w:val="both"/>
        <w:spacing w:before="100" w:after="100"/>
        <w:ind w:start="360"/>
        <w:ind w:firstLine="360"/>
      </w:pPr>
      <w:r>
        <w:rPr/>
      </w:r>
      <w:r>
        <w:rPr/>
      </w:r>
      <w:r>
        <w:t xml:space="preserve">Jurisdiction in all matters pertaining to the registration, distribution and disposal of pesticides and devices is by this subchapter vested exclusively in the board.</w:t>
      </w:r>
      <w:r>
        <w:t xml:space="preserve">  </w:t>
      </w:r>
      <w:r xmlns:wp="http://schemas.openxmlformats.org/drawingml/2010/wordprocessingDrawing" xmlns:w15="http://schemas.microsoft.com/office/word/2012/wordml">
        <w:rPr>
          <w:rFonts w:ascii="Arial" w:hAnsi="Arial" w:cs="Arial"/>
          <w:sz w:val="22"/>
          <w:szCs w:val="22"/>
        </w:rPr>
        <w:t xml:space="preserve">[PL 1989, c. 878, Pt. E,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1975, c. 623, §§5-A (AMD). PL 1989, c. 878, §E21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§624. Repealers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Repealers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§624. REPEALERS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