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Misbranding</w:t>
      </w:r>
    </w:p>
    <w:p>
      <w:pPr>
        <w:jc w:val="both"/>
        <w:spacing w:before="100" w:after="100"/>
        <w:ind w:start="360"/>
        <w:ind w:firstLine="360"/>
      </w:pPr>
      <w:r>
        <w:rPr/>
      </w:r>
      <w:r>
        <w:rPr/>
      </w:r>
      <w:r>
        <w:t xml:space="preserve">No person shall distribute misbranded fertilizer. A commercial fertilizer shall be deemed to be misbranded:</w:t>
      </w:r>
    </w:p>
    <w:p>
      <w:pPr>
        <w:jc w:val="both"/>
        <w:spacing w:before="100" w:after="100"/>
        <w:ind w:start="360"/>
        <w:ind w:firstLine="360"/>
      </w:pPr>
      <w:r>
        <w:rPr>
          <w:b/>
        </w:rPr>
        <w:t>1</w:t>
        <w:t xml:space="preserve">.  </w:t>
      </w:r>
      <w:r>
        <w:rPr>
          <w:b/>
        </w:rPr>
        <w:t xml:space="preserve">False or misleading statements.</w:t>
        <w:t xml:space="preserve"> </w:t>
      </w:r>
      <w:r>
        <w:t xml:space="preserve"> </w:t>
      </w:r>
      <w:r>
        <w:t xml:space="preserve">If false or misleading statements concerning its agricultural value are made on the container or in any advertising matter accompanying or associated with the commercial fertilizer;</w:t>
      </w:r>
    </w:p>
    <w:p>
      <w:pPr>
        <w:jc w:val="both"/>
        <w:spacing w:before="100" w:after="100"/>
        <w:ind w:start="360"/>
        <w:ind w:firstLine="360"/>
      </w:pPr>
      <w:r>
        <w:rPr>
          <w:b/>
        </w:rPr>
        <w:t>2</w:t>
        <w:t xml:space="preserve">.  </w:t>
      </w:r>
      <w:r>
        <w:rPr>
          <w:b/>
        </w:rPr>
        <w:t xml:space="preserve">Distributed under another name.</w:t>
        <w:t xml:space="preserve"> </w:t>
      </w:r>
      <w:r>
        <w:t xml:space="preserve"> </w:t>
      </w:r>
      <w:r>
        <w:t xml:space="preserve">If it is distributed under the name of another fertilizer;</w:t>
      </w:r>
    </w:p>
    <w:p>
      <w:pPr>
        <w:jc w:val="both"/>
        <w:spacing w:before="100" w:after="100"/>
        <w:ind w:start="360"/>
        <w:ind w:firstLine="360"/>
      </w:pPr>
      <w:r>
        <w:rPr>
          <w:b/>
        </w:rPr>
        <w:t>3</w:t>
        <w:t xml:space="preserve">.  </w:t>
      </w:r>
      <w:r>
        <w:rPr>
          <w:b/>
        </w:rPr>
        <w:t xml:space="preserve">Container not labeled as required.</w:t>
        <w:t xml:space="preserve"> </w:t>
      </w:r>
      <w:r>
        <w:t xml:space="preserve"> </w:t>
      </w:r>
      <w:r>
        <w:t xml:space="preserve">If its container is not labeled as required in </w:t>
      </w:r>
      <w:r>
        <w:t>section 744</w:t>
      </w:r>
      <w:r>
        <w:t xml:space="preserve"> and in regulations prescribed under this subchapter;</w:t>
      </w:r>
    </w:p>
    <w:p>
      <w:pPr>
        <w:jc w:val="both"/>
        <w:spacing w:before="100" w:after="100"/>
        <w:ind w:start="360"/>
        <w:ind w:firstLine="360"/>
      </w:pPr>
      <w:r>
        <w:rPr>
          <w:b/>
        </w:rPr>
        <w:t>4</w:t>
        <w:t xml:space="preserve">.  </w:t>
      </w:r>
      <w:r>
        <w:rPr>
          <w:b/>
        </w:rPr>
        <w:t xml:space="preserve">Information required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5</w:t>
        <w:t xml:space="preserve">.  </w:t>
      </w:r>
      <w:r>
        <w:rPr>
          <w:b/>
        </w:rPr>
        <w:t xml:space="preserve">Not registered and fee not paid.</w:t>
        <w:t xml:space="preserve"> </w:t>
      </w:r>
      <w:r>
        <w:t xml:space="preserve"> </w:t>
      </w:r>
      <w:r>
        <w:t xml:space="preserve">If it is a grade of commercial fertilizer which is not registered with the commissioner and the prescribed fee paid in accordance with this subchapter.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Misbranding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§746. MISBRANDING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