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§751. ASSESSMENTS FOR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