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§769. Fines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Fines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§769. FINES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