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Stop sale</w:t>
      </w:r>
    </w:p>
    <w:p>
      <w:pPr>
        <w:jc w:val="both"/>
        <w:spacing w:before="100" w:after="100"/>
        <w:ind w:start="360"/>
        <w:ind w:firstLine="360"/>
      </w:pPr>
      <w:r>
        <w:rPr/>
      </w:r>
      <w:r>
        <w:rPr/>
      </w:r>
      <w:r>
        <w:t xml:space="preserve">The commissioner may issue and enforce a written order to the owner or custodian of any plant or soil amendment to stop sale, use or removal, when the commissioner finds the plant or soil amendment is being offered for sale in violation of any of the provisions of this subchapter, until the subchapter has been complied with and the soil amendment is released in writing by the commissioner, or the violation has been otherwise legally disposed of. The issuance of the order shall not be considered licensing or an adjudicatory proceeding, as defined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§783. Stop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Stop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§783. STOP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