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§975-A. Interest on Potato Marketing Improvement Fund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§975-A. Interest on Potato Marketing Improvement Fund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§975-A. INTEREST ON POTATO MARKETING IMPROVEMENT FUND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