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549, §2 (RP); PL 2023, c. 549, §15 (AFF).]</w:t>
      </w:r>
    </w:p>
    <w:p>
      <w:pPr>
        <w:jc w:val="both"/>
        <w:spacing w:before="100" w:after="0"/>
        <w:ind w:start="720"/>
      </w:pPr>
      <w:r>
        <w:rPr/>
        <w:t>J-1</w:t>
        <w:t xml:space="preserve">.  </w:t>
      </w:r>
      <w:r>
        <w:rPr/>
      </w:r>
      <w:r>
        <w:t xml:space="preserve">Ensure the board or the director or staff has the ability to regulate, manage and audit the operation, financial data and program information relating to slot machines that enables the department to audit the operation, financial data and program information of a casino or slot machine facility licensee, as required by the board, and provide the department with the ability to monitor at any time on a real-time basis wagering patterns, payouts, tax collection and compliance with rules adopted by the board for the regulation and control of slot machines operated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§3 (NEW); PL 2023, c. 549, §15 (AFF).]</w:t>
      </w:r>
    </w:p>
    <w:p>
      <w:pPr>
        <w:jc w:val="both"/>
        <w:spacing w:before="100" w:after="0"/>
        <w:ind w:start="720"/>
      </w:pPr>
      <w:r>
        <w:rPr/>
        <w:t>K</w:t>
        <w:t xml:space="preserve">.  </w:t>
      </w:r>
      <w:r>
        <w:rPr/>
      </w:r>
      <w:r>
        <w:t xml:space="preserve">Ensure the board or the director or staff, in collaboration with the casino operator or slot machine operator, has the ability to activate and deactivate the operation of individual slot machines;</w:t>
      </w:r>
      <w:r>
        <w:t xml:space="preserve">  </w:t>
      </w:r>
      <w:r xmlns:wp="http://schemas.openxmlformats.org/drawingml/2010/wordprocessingDrawing" xmlns:w15="http://schemas.microsoft.com/office/word/2012/wordml">
        <w:rPr>
          <w:rFonts w:ascii="Arial" w:hAnsi="Arial" w:cs="Arial"/>
          <w:sz w:val="22"/>
          <w:szCs w:val="22"/>
        </w:rPr>
        <w:t xml:space="preserve">[PL 2023, c. 549, §4 (AMD); PL 2023, c. 549, §15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a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§5 (AMD); PL 2023, c. 549, §15 (AFF).]</w:t>
      </w:r>
    </w:p>
    <w:p>
      <w:pPr>
        <w:jc w:val="both"/>
        <w:spacing w:before="100" w:after="0"/>
        <w:ind w:start="720"/>
      </w:pPr>
      <w:r>
        <w:rPr/>
        <w:t>N</w:t>
        <w:t xml:space="preserve">.  </w:t>
      </w:r>
      <w:r>
        <w:rPr/>
      </w:r>
      <w:r>
        <w:t xml:space="preserve">Cause, in collaboration with the casino operator or slot machine operator, a slot machine to be disabled that does not meet registration requirements provided by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§6 (AMD); PL 2023, c. 549, §15 (AFF).]</w:t>
      </w:r>
    </w:p>
    <w:p>
      <w:pPr>
        <w:jc w:val="both"/>
        <w:spacing w:before="100" w:after="0"/>
        <w:ind w:start="720"/>
      </w:pPr>
      <w:r>
        <w:rPr/>
        <w:t>O</w:t>
        <w:t xml:space="preserve">.  </w:t>
      </w:r>
      <w:r>
        <w:rPr/>
      </w:r>
      <w:r>
        <w:t xml:space="preserve">Cause, in collaboration with the casino operator or slot machine operator, a slot machine to be disabled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§7 (AMD); PL 2023, c. 549, §15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 and</w:t>
      </w:r>
    </w:p>
    <w:p>
      <w:pPr>
        <w:jc w:val="both"/>
        <w:spacing w:before="100" w:after="0"/>
        <w:ind w:start="1080"/>
      </w:pPr>
      <w:r>
        <w:rPr/>
        <w:t>(</w:t>
        <w:t>9</w:t>
        <w:t xml:space="preserve">)  </w:t>
      </w:r>
      <w:r>
        <w:rPr/>
      </w:r>
      <w:r>
        <w:t xml:space="preserve">Provisions allowing persons to restrict themselves from advance deposit wagering upon request by placing themselves on the universal list pursuant to </w:t>
      </w:r>
      <w:r>
        <w:t>subsection 3, paragraph I</w:t>
      </w:r>
      <w:r>
        <w:t xml:space="preserve">. The rules adopted under this subparagraph must define the standards for involuntary placement on the universal list and for removal from the list.</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635,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§§2-7 (AMD); PL 2023, c. 549, §15 (AFF); PL 2023, c. 635, §§3-5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universal list of persons who have been or are requested to be excluded or removed from any slot machine facility, casino, advance deposit wagering, fantasy contest or sports wagering in this State including those persons who voluntarily request that their names be included on the universal list of excluded persons and those persons who voluntarily requested that their names be included on a list of persons to be excluded or removed that existed before the establishment of the universal list.  Rules adopted under this paragraph must be consistent, to the extent possible, for all forms of gambling included on the universal list.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or participation in advance deposit wagering, a fantasy contest or sports wagering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2023, c. 635, §6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§6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PL 2023, c. 549, §§2-7 (AMD). PL 2023, c. 549, §15 (AFF). PL 2023, c. 635,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