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1035</w:t>
        <w:t xml:space="preserve">.  </w:t>
      </w:r>
      <w:r>
        <w:rPr>
          <w:b/>
        </w:rPr>
        <w:t xml:space="preserve">Location of slot machines</w:t>
      </w:r>
    </w:p>
    <w:p>
      <w:pPr>
        <w:jc w:val="both"/>
        <w:spacing w:before="100" w:after="100"/>
        <w:ind w:start="360"/>
        <w:ind w:firstLine="360"/>
      </w:pPr>
      <w:r>
        <w:rPr/>
      </w:r>
      <w:r>
        <w:rPr/>
      </w:r>
      <w:r>
        <w:t xml:space="preserve">Slot machines may be located only on the premises of a commercial track, the premises of a casino or the premises of an accredited postsecondary institution for the purposes of training and education under </w:t>
      </w:r>
      <w:r>
        <w:t>section 1011, subsection 1‑B</w:t>
      </w:r>
      <w:r>
        <w:t xml:space="preserve">.  For the purposes of this section, "premises of a commercial track" means property owned by the person who owns the property on which a commercial track is located and that is either within 200 feet of the outside edge of the racing oval or, if the commercial track was owned by a municipality when a license to operate slot machines in association with that commercial track was issued, within 2,000 feet of the center of the racing oval.</w:t>
      </w:r>
      <w:r>
        <w:t xml:space="preserve">  </w:t>
      </w:r>
      <w:r xmlns:wp="http://schemas.openxmlformats.org/drawingml/2010/wordprocessingDrawing" xmlns:w15="http://schemas.microsoft.com/office/word/2012/wordml">
        <w:rPr>
          <w:rFonts w:ascii="Arial" w:hAnsi="Arial" w:cs="Arial"/>
          <w:sz w:val="22"/>
          <w:szCs w:val="22"/>
        </w:rPr>
        <w:t xml:space="preserve">[PL 2011, c. 585,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2007, c. 611, §11 (AMD). IB 2009, c. 2, §43 (AMD). PL 2011, c. 585,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§1035. Location of slot machines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§1035. Location of slot machines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§1035. LOCATION OF SLOT MACHINES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