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§1064. Applicability of Title 17, chapter 62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Applicability of Title 17, chapter 62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§1064. APPLICABILITY OF TITLE 17, CHAPTER 62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