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Access to premises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Access to premises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§1212. ACCESS TO PREMISES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