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§227-A. REQUIREMENTS FOR OBTAINING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