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Harness Racing Promotional Fund share</w:t>
      </w:r>
    </w:p>
    <w:p>
      <w:pPr>
        <w:jc w:val="both"/>
        <w:spacing w:before="100" w:after="100"/>
        <w:ind w:start="360"/>
        <w:ind w:firstLine="360"/>
      </w:pPr>
      <w:r>
        <w:rPr/>
      </w:r>
      <w:r>
        <w:rPr/>
      </w:r>
      <w:r>
        <w:t xml:space="preserve">Amounts calculated as Harness Racing Promotional Fund share under </w:t>
      </w:r>
      <w:r>
        <w:t>section 286</w:t>
      </w:r>
      <w:r>
        <w:t xml:space="preserve"> must be paid to the Treasurer of State for deposit in the Harness Racing Promotional Fund for use as provided in </w:t>
      </w:r>
      <w:r>
        <w:t>section 299‑A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2017, c. 371,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 Harness Racing Promotional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Harness Racing Promotional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§291. HARNESS RACING PROMOTIONAL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