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299-A</w:t>
        <w:t xml:space="preserve">.  </w:t>
      </w:r>
      <w:r>
        <w:rPr>
          <w:b/>
        </w:rPr>
        <w:t xml:space="preserve">Harness Racing Promotional Fund</w:t>
      </w:r>
    </w:p>
    <w:p>
      <w:pPr>
        <w:jc w:val="both"/>
        <w:spacing w:before="100" w:after="0"/>
        <w:ind w:start="360"/>
        <w:ind w:firstLine="360"/>
      </w:pPr>
      <w:r>
        <w:rPr>
          <w:b/>
        </w:rPr>
        <w:t>1</w:t>
        <w:t xml:space="preserve">.  </w:t>
      </w:r>
      <w:r>
        <w:rPr>
          <w:b/>
        </w:rPr>
        <w:t xml:space="preserve">Fund created.</w:t>
        <w:t xml:space="preserve"> </w:t>
      </w:r>
      <w:r>
        <w:t xml:space="preserve"> </w:t>
      </w:r>
      <w:r>
        <w:t xml:space="preserve">The Harness Racing Promotional Fund, referred to in this section as "the fund," is established to be used solely for the marketing and promotion of harness racing in the State.  The fund consists of any money received through the commission on wagers pursuant to </w:t>
      </w:r>
      <w:r>
        <w:t>section 286</w:t>
      </w:r>
      <w:r>
        <w:t xml:space="preserve"> and any contributions, grants or appropriations from private and public sources.  The fund, to be accounted for within the commission, must be held separate and apart from all other money, funds and accounts.  Any balance remaining in the fund at the end of a fiscal year does not lapse but must be carried forward to the next fiscal year.  The fund may not be charged for indirect costs under a departmental indirect cost allocation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626, §15 (AMD).]</w:t>
      </w:r>
    </w:p>
    <w:p>
      <w:pPr>
        <w:jc w:val="both"/>
        <w:spacing w:before="100" w:after="0"/>
        <w:ind w:start="360"/>
        <w:ind w:firstLine="360"/>
      </w:pPr>
      <w:r>
        <w:rPr>
          <w:b/>
        </w:rPr>
        <w:t>2</w:t>
        <w:t xml:space="preserve">.  </w:t>
      </w:r>
      <w:r>
        <w:rPr>
          <w:b/>
        </w:rPr>
        <w:t xml:space="preserve">Expenditures.</w:t>
        <w:t xml:space="preserve"> </w:t>
      </w:r>
      <w:r>
        <w:t xml:space="preserve"> </w:t>
      </w:r>
      <w:r>
        <w:t xml:space="preserve">The commission shall administer the fund consistent with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371,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371, §5 (NEW). PL 2019, c. 343, Pt. U, §1 (AMD). PL 2019, c. 626,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§299-A. Harness Racing Promotional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§299-A. Harness Racing Promotional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§299-A. HARNESS RACING PROMOTIONAL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