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w:t>
        <w:t xml:space="preserve">.  </w:t>
      </w:r>
      <w:r>
        <w:rPr>
          <w:b/>
        </w:rPr>
        <w:t xml:space="preserve">Prohibited interests of officers, directors and employees</w:t>
      </w:r>
    </w:p>
    <w:p>
      <w:pPr>
        <w:jc w:val="both"/>
        <w:spacing w:before="100" w:after="100"/>
        <w:ind w:start="360"/>
        <w:ind w:firstLine="360"/>
      </w:pPr>
      <w:r>
        <w:rPr/>
      </w:r>
      <w:r>
        <w:rPr/>
      </w:r>
      <w:r>
        <w:t xml:space="preserve">A director of the authority or a spouse, domestic partner or dependent child of a director of the authority may not receive any direct personal benefit from the activities or undertakings of the authority.  This section does not prohibit corporations or other entities with which a director is associated by reason of ownership or employment from participating in mixed martial arts, Muay Thai, kickboxing or boxing activities if ownership or employment is made known to the authority and the director abstains from voting on matters relating to that participation.  A director of the authority must comply with the requirements of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152,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2011, c. 305, §8 (AMD). PL 2023, c. 152,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§526. Prohibited interests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 Prohibited interests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§526. PROHIBITED INTERESTS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