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Restriction on liability in consumer lease</w:t>
      </w:r>
    </w:p>
    <w:p>
      <w:pPr>
        <w:jc w:val="both"/>
        <w:spacing w:before="100" w:after="100"/>
        <w:ind w:start="360"/>
        <w:ind w:firstLine="360"/>
      </w:pPr>
      <w:r>
        <w:rPr/>
      </w:r>
      <w:r>
        <w:rPr/>
      </w:r>
      <w:r>
        <w:t xml:space="preserve">The obligation of a lessee upon expiration of a consumer lease may not exceed twice the average payment allocable to a monthly period under the lease. This limitation does not apply to charges for damages to the leased property or for other default.</w:t>
      </w:r>
      <w:r>
        <w:t xml:space="preserve">  </w:t>
      </w:r>
      <w:r xmlns:wp="http://schemas.openxmlformats.org/drawingml/2010/wordprocessingDrawing" xmlns:w15="http://schemas.microsoft.com/office/word/2012/wordml">
        <w:rPr>
          <w:rFonts w:ascii="Arial" w:hAnsi="Arial" w:cs="Arial"/>
          <w:sz w:val="22"/>
          <w:szCs w:val="22"/>
        </w:rPr>
        <w:t xml:space="preserve">[PL 1981, c. 243,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§§20,26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Restriction on liability in consumer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Restriction on liability in consumer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§3-401. RESTRICTION ON LIABILITY IN CONSUMER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