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632</w:t>
        <w:t xml:space="preserve">.  </w:t>
      </w:r>
      <w:r>
        <w:rPr>
          <w:b/>
        </w:rPr>
        <w:t xml:space="preserve">Loans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633</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§§17,18 (AMD). PL 1991, c. 34, §17 (RP). </w:t>
      </w:r>
    </w:p>
    <w:p>
      <w:pPr>
        <w:jc w:val="both"/>
        <w:spacing w:before="100" w:after="100"/>
        <w:ind w:start="1080" w:hanging="720"/>
      </w:pPr>
      <w:r>
        <w:rPr>
          <w:b/>
        </w:rPr>
        <w:t>§</w:t>
        <w:t>634</w:t>
        <w:t xml:space="preserve">.  </w:t>
      </w:r>
      <w:r>
        <w:rPr>
          <w:b/>
        </w:rPr>
        <w:t xml:space="preserve">Guaranteed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635</w:t>
        <w:t xml:space="preserve">.  </w:t>
      </w:r>
      <w:r>
        <w:rPr>
          <w:b/>
        </w:rPr>
        <w:t xml:space="preserve">Investments secured by mortgages under the G. I. Bill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636</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251, §2 (AMD). PL 1987, c. 405, §19 (AMD). RR 1991, c. 2, §25 (COR). PL 1991, c. 34, §18 (AMD). PL 1995, c. 24, §4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