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Business days; banking days;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Business days; banking days;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§145. BUSINESS DAYS; BANKING DAYS;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