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Deputy superintendents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§212. DEPUTY SUPERINTENDENTS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