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MEETING AND VOTING RIGHTS</w:t>
      </w:r>
    </w:p>
    <w:p>
      <w:pPr>
        <w:jc w:val="center"/>
        <w:ind w:start="360"/>
        <w:spacing w:before="300" w:after="300"/>
      </w:pPr>
      <w:r>
        <w:rPr>
          <w:b/>
        </w:rPr>
        <w:t>(REPEALED)</w:t>
      </w:r>
    </w:p>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1793</w:t>
        <w:t xml:space="preserve">.  </w:t>
      </w:r>
      <w:r>
        <w:rPr>
          <w:b/>
        </w:rPr>
        <w:t xml:space="preserve">Place of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1794</w:t>
        <w:t xml:space="preserve">.  </w:t>
      </w:r>
      <w:r>
        <w:rPr>
          <w:b/>
        </w:rPr>
        <w:t xml:space="preserve">Voting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§10 (AMD). PL 1971, c. 598, §10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153. MEETING AND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MEETING AND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153. MEETING AND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