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3441</w:t>
        <w:t xml:space="preserve">.  </w:t>
      </w:r>
      <w:r>
        <w:rPr>
          <w:b/>
        </w:rPr>
        <w:t xml:space="preserve">Application; fee;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§51 (AMD). PL 1975, c. 767, §2 (RP). </w:t>
      </w:r>
    </w:p>
    <w:p>
      <w:pPr>
        <w:jc w:val="both"/>
        <w:spacing w:before="100" w:after="100"/>
        <w:ind w:start="1080" w:hanging="720"/>
      </w:pPr>
      <w:r>
        <w:rPr>
          <w:b/>
        </w:rPr>
        <w:t>§</w:t>
        <w:t>3442</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§5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323.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